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en-US" w:eastAsia="zh-CN"/>
        </w:rPr>
      </w:pPr>
      <w:r>
        <w:rPr>
          <w:rFonts w:hint="eastAsia" w:ascii="仿宋_GB2312" w:hAnsi="宋体"/>
          <w:szCs w:val="32"/>
          <w:lang w:val="zh-CN"/>
        </w:rPr>
        <w:t>附件</w:t>
      </w:r>
      <w:r>
        <w:rPr>
          <w:rFonts w:hint="eastAsia" w:ascii="仿宋_GB2312" w:hAnsi="宋体"/>
          <w:szCs w:val="32"/>
          <w:lang w:val="en-US" w:eastAsia="zh-CN"/>
        </w:rPr>
        <w:t>1</w:t>
      </w:r>
    </w:p>
    <w:p>
      <w:pPr>
        <w:spacing w:line="312" w:lineRule="auto"/>
        <w:jc w:val="center"/>
        <w:outlineLvl w:val="1"/>
        <w:rPr>
          <w:rFonts w:hint="eastAsia" w:ascii="方正小标宋简体" w:hAnsi="Cambria" w:eastAsia="方正小标宋简体"/>
          <w:bCs/>
          <w:sz w:val="44"/>
          <w:szCs w:val="44"/>
          <w:lang w:eastAsia="zh-CN"/>
        </w:rPr>
      </w:pPr>
      <w:r>
        <w:rPr>
          <w:rFonts w:hint="eastAsia" w:ascii="方正小标宋简体" w:hAnsi="Cambria" w:eastAsia="方正小标宋简体"/>
          <w:bCs/>
          <w:sz w:val="44"/>
          <w:szCs w:val="44"/>
          <w:lang w:eastAsia="zh-CN"/>
        </w:rPr>
        <w:t>峨边彝族自治县司法局</w:t>
      </w:r>
    </w:p>
    <w:p>
      <w:pPr>
        <w:spacing w:line="312" w:lineRule="auto"/>
        <w:jc w:val="center"/>
        <w:outlineLvl w:val="1"/>
        <w:rPr>
          <w:rFonts w:ascii="方正小标宋简体" w:hAnsi="Cambria" w:eastAsia="方正小标宋简体"/>
          <w:bCs/>
          <w:sz w:val="44"/>
          <w:szCs w:val="44"/>
        </w:rPr>
      </w:pPr>
      <w:r>
        <w:rPr>
          <w:rFonts w:hint="eastAsia" w:ascii="方正小标宋简体" w:eastAsia="方正小标宋简体"/>
          <w:sz w:val="44"/>
          <w:szCs w:val="44"/>
        </w:rPr>
        <w:t>整体绩效</w:t>
      </w:r>
      <w:r>
        <w:rPr>
          <w:rFonts w:hint="eastAsia" w:ascii="方正小标宋简体" w:eastAsia="方正小标宋简体"/>
          <w:sz w:val="44"/>
          <w:szCs w:val="44"/>
          <w:lang w:eastAsia="zh-CN"/>
        </w:rPr>
        <w:t>自</w:t>
      </w:r>
      <w:r>
        <w:rPr>
          <w:rFonts w:hint="eastAsia" w:ascii="方正小标宋简体" w:eastAsia="方正小标宋简体"/>
          <w:sz w:val="44"/>
          <w:szCs w:val="44"/>
        </w:rPr>
        <w:t>评报告</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峨边彝族自治县司法局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 xml:space="preserve">                       （盖章）             </w:t>
      </w:r>
    </w:p>
    <w:p>
      <w:pPr>
        <w:ind w:firstLine="640"/>
        <w:rPr>
          <w:rFonts w:hint="eastAsia"/>
          <w:u w:val="single"/>
          <w:lang w:val="en-US" w:eastAsia="zh-CN"/>
        </w:rPr>
      </w:pPr>
    </w:p>
    <w:p>
      <w:pPr>
        <w:rPr>
          <w:rFonts w:hint="default" w:eastAsia="仿宋_GB2312"/>
          <w:lang w:val="en-US" w:eastAsia="zh-CN"/>
        </w:rPr>
      </w:pPr>
      <w:r>
        <w:rPr>
          <w:rFonts w:hint="eastAsia"/>
          <w:lang w:val="en-US" w:eastAsia="zh-CN"/>
        </w:rPr>
        <w:t xml:space="preserve">    评价时间：</w:t>
      </w:r>
      <w:r>
        <w:rPr>
          <w:rFonts w:hint="eastAsia"/>
          <w:u w:val="single"/>
          <w:lang w:val="en-US" w:eastAsia="zh-CN"/>
        </w:rPr>
        <w:t xml:space="preserve">    2023年7月4日                               </w:t>
      </w:r>
    </w:p>
    <w:p/>
    <w:p/>
    <w:p>
      <w:pPr>
        <w:spacing w:line="580" w:lineRule="exact"/>
        <w:contextualSpacing/>
        <w:rPr>
          <w:rFonts w:hint="eastAsia" w:ascii="仿宋_GB2312" w:hAnsi="宋体"/>
          <w:szCs w:val="32"/>
          <w:lang w:val="zh-CN" w:eastAsia="zh-CN"/>
        </w:rPr>
      </w:pPr>
    </w:p>
    <w:p>
      <w:pPr>
        <w:widowControl/>
        <w:spacing w:line="580" w:lineRule="exact"/>
        <w:ind w:firstLine="883" w:firstLineChars="200"/>
        <w:contextualSpacing/>
        <w:jc w:val="center"/>
        <w:rPr>
          <w:rFonts w:hint="eastAsia" w:ascii="宋体" w:hAnsi="宋体" w:eastAsia="宋体"/>
          <w:b/>
          <w:sz w:val="44"/>
          <w:szCs w:val="44"/>
          <w:shd w:val="clear" w:color="auto" w:fill="FFFFFF"/>
          <w:lang w:val="en-US" w:eastAsia="zh-CN"/>
        </w:rPr>
      </w:pPr>
      <w:r>
        <w:rPr>
          <w:rFonts w:hint="eastAsia" w:ascii="宋体" w:hAnsi="宋体" w:eastAsia="宋体"/>
          <w:b/>
          <w:sz w:val="44"/>
          <w:szCs w:val="44"/>
          <w:shd w:val="clear" w:color="auto" w:fill="FFFFFF"/>
          <w:lang w:eastAsia="zh-CN"/>
        </w:rPr>
        <w:t>峨边彝族自治县司法局</w:t>
      </w:r>
    </w:p>
    <w:p>
      <w:pPr>
        <w:widowControl/>
        <w:spacing w:line="580" w:lineRule="exact"/>
        <w:contextualSpacing/>
        <w:jc w:val="center"/>
        <w:rPr>
          <w:rFonts w:ascii="黑体" w:hAnsi="宋体" w:eastAsia="黑体" w:cs="宋体"/>
          <w:color w:val="000000"/>
          <w:kern w:val="0"/>
          <w:sz w:val="24"/>
          <w:szCs w:val="32"/>
          <w:shd w:val="clear" w:color="auto" w:fill="FFFFFF"/>
        </w:rPr>
      </w:pPr>
      <w:r>
        <w:rPr>
          <w:rFonts w:hint="eastAsia" w:ascii="宋体" w:hAnsi="宋体" w:eastAsia="宋体"/>
          <w:b/>
          <w:sz w:val="44"/>
          <w:szCs w:val="44"/>
          <w:shd w:val="clear" w:color="auto" w:fill="FFFFFF"/>
        </w:rPr>
        <w:t>20</w:t>
      </w:r>
      <w:r>
        <w:rPr>
          <w:rFonts w:hint="eastAsia" w:ascii="宋体" w:hAnsi="宋体" w:eastAsia="宋体"/>
          <w:b/>
          <w:sz w:val="44"/>
          <w:szCs w:val="44"/>
          <w:shd w:val="clear" w:color="auto" w:fill="FFFFFF"/>
          <w:lang w:val="en-US" w:eastAsia="zh-CN"/>
        </w:rPr>
        <w:t>22</w:t>
      </w:r>
      <w:r>
        <w:rPr>
          <w:rFonts w:hint="eastAsia" w:ascii="宋体" w:hAnsi="宋体" w:eastAsia="宋体"/>
          <w:b/>
          <w:sz w:val="44"/>
          <w:szCs w:val="44"/>
          <w:shd w:val="clear" w:color="auto" w:fill="FFFFFF"/>
        </w:rPr>
        <w:t>年度部门整体绩效</w:t>
      </w:r>
      <w:r>
        <w:rPr>
          <w:rFonts w:hint="eastAsia" w:ascii="宋体" w:hAnsi="宋体" w:eastAsia="宋体"/>
          <w:b/>
          <w:sz w:val="44"/>
          <w:szCs w:val="44"/>
          <w:shd w:val="clear" w:color="auto" w:fill="FFFFFF"/>
          <w:lang w:eastAsia="zh-CN"/>
        </w:rPr>
        <w:t>自</w:t>
      </w:r>
      <w:r>
        <w:rPr>
          <w:rFonts w:hint="eastAsia" w:ascii="宋体" w:hAnsi="宋体" w:eastAsia="宋体"/>
          <w:b/>
          <w:sz w:val="44"/>
          <w:szCs w:val="44"/>
          <w:shd w:val="clear" w:color="auto" w:fill="FFFFFF"/>
        </w:rPr>
        <w:t>评报告</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eastAsia="zh-CN"/>
        </w:rPr>
        <w:t>部门</w:t>
      </w:r>
      <w:r>
        <w:rPr>
          <w:rFonts w:hint="eastAsia" w:ascii="黑体" w:hAnsi="宋体" w:eastAsia="黑体" w:cs="宋体"/>
          <w:color w:val="000000"/>
          <w:kern w:val="0"/>
          <w:szCs w:val="32"/>
          <w:shd w:val="clear" w:color="auto" w:fill="FFFFFF"/>
          <w:lang w:val="zh-CN"/>
        </w:rPr>
        <w:t>基本情况</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zh-CN" w:eastAsia="zh-CN"/>
        </w:rPr>
        <w:t>（一）机构组成</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zh-CN"/>
        </w:rPr>
      </w:pPr>
      <w:r>
        <w:rPr>
          <w:rFonts w:hint="eastAsia" w:ascii="仿宋_GB2312" w:hAnsi="宋体" w:eastAsia="仿宋_GB2312"/>
          <w:sz w:val="32"/>
          <w:szCs w:val="32"/>
          <w:lang w:eastAsia="zh-CN"/>
        </w:rPr>
        <w:t>峨边彝族自治县</w:t>
      </w:r>
      <w:r>
        <w:rPr>
          <w:rFonts w:hint="eastAsia" w:ascii="仿宋_GB2312" w:hAnsi="宋体" w:eastAsia="仿宋_GB2312"/>
          <w:sz w:val="32"/>
          <w:szCs w:val="32"/>
        </w:rPr>
        <w:t>司法局是财政全额拨款行政单位，</w:t>
      </w:r>
      <w:r>
        <w:rPr>
          <w:rFonts w:hint="eastAsia" w:ascii="仿宋_GB2312" w:hAnsi="宋体" w:eastAsia="仿宋_GB2312"/>
          <w:sz w:val="32"/>
          <w:szCs w:val="32"/>
          <w:lang w:eastAsia="zh-CN"/>
        </w:rPr>
        <w:t>内设办公室、依法治县秘书股、基层股、法制股、社区矫正执法大队、法律援助中心，公证处。此外，一共有</w:t>
      </w:r>
      <w:r>
        <w:rPr>
          <w:rFonts w:hint="eastAsia" w:ascii="仿宋_GB2312" w:hAnsi="宋体" w:eastAsia="仿宋_GB2312"/>
          <w:sz w:val="32"/>
          <w:szCs w:val="32"/>
          <w:lang w:val="en-US" w:eastAsia="zh-CN"/>
        </w:rPr>
        <w:t>13</w:t>
      </w:r>
      <w:r>
        <w:rPr>
          <w:rFonts w:hint="eastAsia" w:ascii="仿宋_GB2312" w:hAnsi="宋体" w:eastAsia="仿宋_GB2312"/>
          <w:sz w:val="32"/>
          <w:szCs w:val="32"/>
          <w:lang w:eastAsia="zh-CN"/>
        </w:rPr>
        <w:t>个基层司法所。</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（二）机构职能和人员概况</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（1）承担全面依法治县重大问题决策研究，协调有关方面提出全面法治县中长期规划建议，负责有关重大决策部署督察工作。</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（2）负责指导全县规范性文件管理有关工作。</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（4）承担统筹推进法治政府建设的责任。</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（5）负责德古调解的安排和部署，参与矛盾纠纷排查化解，维护社会和谐稳定。</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（6）承担县人民政府作为被申请人的行政复议事项和县人民政府作为被告的行政复议应诉案件。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（7）指导、管理、组织实施全县社区矫正工作；指导、牵头组织实施刑满释放人员安置帮教工作。</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（8）指导、监督、管理律师、法律援助、公证和基层法律服务工作。</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（12）规划、协调、指导法治人才队伍建设相关工作。</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zh-CN"/>
        </w:rPr>
      </w:pPr>
      <w:r>
        <w:rPr>
          <w:rFonts w:hint="eastAsia" w:ascii="仿宋_GB2312" w:hAnsi="宋体" w:eastAsia="仿宋_GB2312"/>
          <w:sz w:val="32"/>
          <w:szCs w:val="32"/>
          <w:lang w:val="en-US" w:eastAsia="zh-CN"/>
        </w:rPr>
        <w:t>（13）完成县委、县人民政府交办的其他事项。</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楷体_GB2312" w:hAnsi="楷体_GB2312" w:eastAsia="楷体_GB2312" w:cs="楷体_GB2312"/>
          <w:sz w:val="32"/>
          <w:szCs w:val="32"/>
          <w:lang w:val="zh-CN" w:eastAsia="zh-CN"/>
        </w:rPr>
        <w:t>（</w:t>
      </w:r>
      <w:r>
        <w:rPr>
          <w:rFonts w:hint="eastAsia" w:ascii="楷体_GB2312" w:hAnsi="楷体_GB2312" w:eastAsia="楷体_GB2312" w:cs="楷体_GB2312"/>
          <w:b w:val="0"/>
          <w:bCs w:val="0"/>
          <w:sz w:val="32"/>
          <w:szCs w:val="32"/>
          <w:lang w:val="en-US" w:eastAsia="zh-CN"/>
        </w:rPr>
        <w:t>14</w:t>
      </w:r>
      <w:r>
        <w:rPr>
          <w:rFonts w:hint="eastAsia" w:ascii="楷体_GB2312" w:hAnsi="楷体_GB2312" w:eastAsia="楷体_GB2312" w:cs="楷体_GB2312"/>
          <w:sz w:val="32"/>
          <w:szCs w:val="32"/>
          <w:lang w:val="zh-CN" w:eastAsia="zh-CN"/>
        </w:rPr>
        <w:t>）人员概况：</w:t>
      </w:r>
      <w:r>
        <w:rPr>
          <w:rFonts w:hint="eastAsia" w:ascii="仿宋_GB2312" w:hAnsi="宋体" w:eastAsia="仿宋_GB2312"/>
          <w:sz w:val="32"/>
          <w:szCs w:val="32"/>
          <w:lang w:val="en-US" w:eastAsia="zh-CN"/>
        </w:rPr>
        <w:t>202</w:t>
      </w:r>
      <w:r>
        <w:rPr>
          <w:rFonts w:hint="eastAsia" w:ascii="仿宋_GB2312" w:hAnsi="宋体"/>
          <w:sz w:val="32"/>
          <w:szCs w:val="32"/>
          <w:lang w:val="en-US" w:eastAsia="zh-CN"/>
        </w:rPr>
        <w:t>2</w:t>
      </w:r>
      <w:r>
        <w:rPr>
          <w:rFonts w:hint="eastAsia" w:ascii="仿宋_GB2312" w:hAnsi="宋体" w:eastAsia="仿宋_GB2312"/>
          <w:sz w:val="32"/>
          <w:szCs w:val="32"/>
          <w:lang w:val="en-US" w:eastAsia="zh-CN"/>
        </w:rPr>
        <w:t>年全局核定编制</w:t>
      </w:r>
      <w:r>
        <w:rPr>
          <w:rFonts w:hint="eastAsia" w:ascii="仿宋_GB2312" w:hAnsi="宋体"/>
          <w:sz w:val="32"/>
          <w:szCs w:val="32"/>
          <w:lang w:val="en-US" w:eastAsia="zh-CN"/>
        </w:rPr>
        <w:t>40</w:t>
      </w:r>
      <w:r>
        <w:rPr>
          <w:rFonts w:hint="eastAsia" w:ascii="仿宋_GB2312" w:hAnsi="宋体" w:eastAsia="仿宋_GB2312"/>
          <w:sz w:val="32"/>
          <w:szCs w:val="32"/>
          <w:lang w:val="en-US" w:eastAsia="zh-CN"/>
        </w:rPr>
        <w:t>人，其中：行政编制3</w:t>
      </w:r>
      <w:r>
        <w:rPr>
          <w:rFonts w:hint="eastAsia" w:ascii="仿宋_GB2312" w:hAnsi="宋体"/>
          <w:sz w:val="32"/>
          <w:szCs w:val="32"/>
          <w:lang w:val="en-US" w:eastAsia="zh-CN"/>
        </w:rPr>
        <w:t>2</w:t>
      </w:r>
      <w:r>
        <w:rPr>
          <w:rFonts w:hint="eastAsia" w:ascii="仿宋_GB2312" w:hAnsi="宋体" w:eastAsia="仿宋_GB2312"/>
          <w:sz w:val="32"/>
          <w:szCs w:val="32"/>
          <w:lang w:val="en-US" w:eastAsia="zh-CN"/>
        </w:rPr>
        <w:t>人，</w:t>
      </w:r>
      <w:r>
        <w:rPr>
          <w:rFonts w:hint="eastAsia" w:ascii="仿宋_GB2312" w:hAnsi="宋体"/>
          <w:sz w:val="32"/>
          <w:szCs w:val="32"/>
          <w:lang w:val="en-US" w:eastAsia="zh-CN"/>
        </w:rPr>
        <w:t>参公编3人，</w:t>
      </w:r>
      <w:r>
        <w:rPr>
          <w:rFonts w:hint="eastAsia" w:ascii="仿宋_GB2312" w:hAnsi="宋体" w:eastAsia="仿宋_GB2312"/>
          <w:sz w:val="32"/>
          <w:szCs w:val="32"/>
          <w:lang w:val="en-US" w:eastAsia="zh-CN"/>
        </w:rPr>
        <w:t>事业编制</w:t>
      </w:r>
      <w:r>
        <w:rPr>
          <w:rFonts w:hint="eastAsia" w:ascii="仿宋_GB2312" w:hAnsi="宋体"/>
          <w:sz w:val="32"/>
          <w:szCs w:val="32"/>
          <w:lang w:val="en-US" w:eastAsia="zh-CN"/>
        </w:rPr>
        <w:t>2</w:t>
      </w:r>
      <w:r>
        <w:rPr>
          <w:rFonts w:hint="eastAsia" w:ascii="仿宋_GB2312" w:hAnsi="宋体" w:eastAsia="仿宋_GB2312"/>
          <w:sz w:val="32"/>
          <w:szCs w:val="32"/>
          <w:lang w:val="en-US" w:eastAsia="zh-CN"/>
        </w:rPr>
        <w:t>人，工勤编制</w:t>
      </w:r>
      <w:r>
        <w:rPr>
          <w:rFonts w:hint="eastAsia" w:ascii="仿宋_GB2312" w:hAnsi="宋体"/>
          <w:sz w:val="32"/>
          <w:szCs w:val="32"/>
          <w:lang w:val="en-US" w:eastAsia="zh-CN"/>
        </w:rPr>
        <w:t>3</w:t>
      </w:r>
      <w:r>
        <w:rPr>
          <w:rFonts w:hint="eastAsia" w:ascii="仿宋_GB2312" w:hAnsi="宋体" w:eastAsia="仿宋_GB2312"/>
          <w:sz w:val="32"/>
          <w:szCs w:val="32"/>
          <w:lang w:val="en-US" w:eastAsia="zh-CN"/>
        </w:rPr>
        <w:t>人</w:t>
      </w:r>
      <w:r>
        <w:rPr>
          <w:rFonts w:hint="eastAsia" w:ascii="仿宋_GB2312" w:hAnsi="宋体"/>
          <w:sz w:val="32"/>
          <w:szCs w:val="32"/>
          <w:lang w:val="en-US" w:eastAsia="zh-CN"/>
        </w:rPr>
        <w:t xml:space="preserve"> </w:t>
      </w:r>
      <w:r>
        <w:rPr>
          <w:rFonts w:hint="eastAsia" w:ascii="仿宋_GB2312" w:hAnsi="宋体" w:eastAsia="仿宋_GB2312"/>
          <w:sz w:val="32"/>
          <w:szCs w:val="32"/>
          <w:lang w:val="en-US" w:eastAsia="zh-CN"/>
        </w:rPr>
        <w:t>。</w:t>
      </w:r>
      <w:r>
        <w:rPr>
          <w:rFonts w:hint="eastAsia" w:ascii="仿宋_GB2312" w:hAnsi="宋体"/>
          <w:sz w:val="32"/>
          <w:szCs w:val="32"/>
          <w:lang w:val="en-US" w:eastAsia="zh-CN"/>
        </w:rPr>
        <w:t>年末</w:t>
      </w:r>
      <w:r>
        <w:rPr>
          <w:rFonts w:hint="eastAsia" w:ascii="仿宋_GB2312" w:hAnsi="宋体" w:eastAsia="仿宋_GB2312"/>
          <w:sz w:val="32"/>
          <w:szCs w:val="32"/>
          <w:lang w:val="en-US" w:eastAsia="zh-CN"/>
        </w:rPr>
        <w:t>实有在职</w:t>
      </w:r>
      <w:r>
        <w:rPr>
          <w:rFonts w:hint="eastAsia" w:ascii="仿宋_GB2312" w:hAnsi="宋体"/>
          <w:sz w:val="32"/>
          <w:szCs w:val="32"/>
          <w:lang w:val="en-US" w:eastAsia="zh-CN"/>
        </w:rPr>
        <w:t>34</w:t>
      </w:r>
      <w:r>
        <w:rPr>
          <w:rFonts w:hint="eastAsia" w:ascii="仿宋_GB2312" w:hAnsi="宋体" w:eastAsia="仿宋_GB2312"/>
          <w:sz w:val="32"/>
          <w:szCs w:val="32"/>
          <w:lang w:val="en-US" w:eastAsia="zh-CN"/>
        </w:rPr>
        <w:t>人，离退休人员0人，司法所辅助人员13人，</w:t>
      </w:r>
      <w:r>
        <w:rPr>
          <w:rFonts w:hint="eastAsia" w:ascii="仿宋_GB2312" w:hAnsi="宋体"/>
          <w:sz w:val="32"/>
          <w:szCs w:val="32"/>
          <w:lang w:val="en-US" w:eastAsia="zh-CN"/>
        </w:rPr>
        <w:t>调解员8人，编外人员1人（驾驶员），</w:t>
      </w:r>
      <w:r>
        <w:rPr>
          <w:rFonts w:hint="eastAsia" w:ascii="仿宋_GB2312" w:hAnsi="宋体" w:eastAsia="仿宋_GB2312"/>
          <w:sz w:val="32"/>
          <w:szCs w:val="32"/>
          <w:lang w:val="en-US" w:eastAsia="zh-CN"/>
        </w:rPr>
        <w:t>现有执法执勤车辆2台。</w:t>
      </w:r>
    </w:p>
    <w:p>
      <w:pPr>
        <w:pStyle w:val="2"/>
        <w:tabs>
          <w:tab w:val="left" w:pos="825"/>
        </w:tabs>
        <w:jc w:val="left"/>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ab/>
      </w:r>
      <w:r>
        <w:rPr>
          <w:rFonts w:hint="eastAsia" w:ascii="仿宋_GB2312" w:hAnsi="宋体" w:eastAsia="仿宋_GB2312"/>
          <w:sz w:val="32"/>
          <w:szCs w:val="32"/>
          <w:lang w:val="en-US" w:eastAsia="zh-CN"/>
        </w:rPr>
        <w:t>（三）年度主要工作任务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color w:val="auto"/>
          <w:sz w:val="32"/>
          <w:szCs w:val="32"/>
          <w:lang w:val="en-US" w:eastAsia="zh-CN"/>
        </w:rPr>
      </w:pPr>
      <w:r>
        <w:rPr>
          <w:rFonts w:hint="eastAsia" w:ascii="仿宋_GB2312" w:hAnsi="宋体"/>
          <w:sz w:val="32"/>
          <w:szCs w:val="32"/>
          <w:lang w:val="en-US" w:eastAsia="zh-CN"/>
        </w:rPr>
        <w:tab/>
      </w:r>
      <w:r>
        <w:rPr>
          <w:rFonts w:hint="eastAsia" w:ascii="楷体_GB2312" w:hAnsi="楷体_GB2312" w:eastAsia="楷体_GB2312" w:cs="楷体_GB2312"/>
          <w:sz w:val="32"/>
          <w:szCs w:val="32"/>
          <w:lang w:val="en-US" w:eastAsia="zh-CN"/>
        </w:rPr>
        <w:t>一是统筹推动依法治县。</w:t>
      </w:r>
      <w:r>
        <w:rPr>
          <w:rFonts w:hint="eastAsia" w:ascii="仿宋_GB2312" w:hAnsi="仿宋_GB2312" w:eastAsia="仿宋_GB2312" w:cs="仿宋_GB2312"/>
          <w:sz w:val="32"/>
          <w:szCs w:val="32"/>
          <w:lang w:val="en-US" w:eastAsia="zh-CN"/>
        </w:rPr>
        <w:t>坚定贯</w:t>
      </w:r>
      <w:r>
        <w:rPr>
          <w:rFonts w:hint="eastAsia" w:ascii="仿宋_GB2312" w:hAnsi="仿宋_GB2312" w:eastAsia="仿宋_GB2312" w:cs="仿宋_GB2312"/>
          <w:b w:val="0"/>
          <w:bCs w:val="0"/>
          <w:color w:val="auto"/>
          <w:sz w:val="32"/>
          <w:szCs w:val="32"/>
          <w:lang w:val="en-US" w:eastAsia="zh-CN"/>
        </w:rPr>
        <w:t>彻落实习近平法治思想，充分发挥县委依法治县办运转中枢作用和统筹协调职能，制定出台</w:t>
      </w:r>
      <w:r>
        <w:rPr>
          <w:rFonts w:hint="eastAsia" w:ascii="仿宋_GB2312" w:hAnsi="仿宋_GB2312" w:eastAsia="仿宋_GB2312" w:cs="仿宋_GB2312"/>
          <w:sz w:val="32"/>
          <w:szCs w:val="32"/>
          <w:lang w:val="en-US" w:eastAsia="zh-CN"/>
        </w:rPr>
        <w:t>《法治峨边建设规划（2021-2025年）》《法治政府建设实施方案（2021-2025年）》《</w:t>
      </w:r>
      <w:r>
        <w:rPr>
          <w:rFonts w:hint="eastAsia" w:ascii="仿宋_GB2312" w:hAnsi="仿宋_GB2312" w:eastAsia="仿宋_GB2312" w:cs="仿宋_GB2312"/>
          <w:b w:val="0"/>
          <w:bCs w:val="0"/>
          <w:color w:val="auto"/>
          <w:sz w:val="32"/>
          <w:szCs w:val="32"/>
          <w:lang w:val="en-US" w:eastAsia="zh-CN"/>
        </w:rPr>
        <w:t>法治社会建设实施方案（2021-2025年）》</w:t>
      </w:r>
      <w:r>
        <w:rPr>
          <w:rFonts w:hint="eastAsia" w:ascii="仿宋_GB2312" w:hAnsi="仿宋_GB2312" w:cs="仿宋_GB2312"/>
          <w:b w:val="0"/>
          <w:bCs w:val="0"/>
          <w:color w:val="auto"/>
          <w:sz w:val="32"/>
          <w:szCs w:val="32"/>
          <w:lang w:val="en-US" w:eastAsia="zh-CN"/>
        </w:rPr>
        <w:t>。</w:t>
      </w:r>
      <w:r>
        <w:rPr>
          <w:rFonts w:hint="eastAsia" w:ascii="楷体_GB2312" w:hAnsi="楷体_GB2312" w:eastAsia="楷体_GB2312" w:cs="楷体_GB2312"/>
          <w:sz w:val="32"/>
          <w:szCs w:val="32"/>
          <w:lang w:val="en-US" w:eastAsia="zh-CN"/>
        </w:rPr>
        <w:t>二是加快建设法</w:t>
      </w:r>
      <w:r>
        <w:rPr>
          <w:rFonts w:hint="eastAsia" w:ascii="楷体_GB2312" w:hAnsi="楷体_GB2312" w:eastAsia="楷体_GB2312" w:cs="楷体_GB2312"/>
          <w:b w:val="0"/>
          <w:bCs w:val="0"/>
          <w:color w:val="auto"/>
          <w:sz w:val="32"/>
          <w:szCs w:val="32"/>
          <w:lang w:val="en-US" w:eastAsia="zh-CN"/>
        </w:rPr>
        <w:t>治政府</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eastAsia="zh-CN"/>
        </w:rPr>
        <w:t>全面执行《重大行政决策程序暂行条例》，</w:t>
      </w:r>
      <w:r>
        <w:rPr>
          <w:rFonts w:hint="eastAsia" w:ascii="仿宋_GB2312" w:hAnsi="仿宋_GB2312" w:eastAsia="仿宋_GB2312" w:cs="仿宋_GB2312"/>
          <w:sz w:val="32"/>
          <w:szCs w:val="32"/>
          <w:lang w:val="en-US" w:eastAsia="zh-CN"/>
        </w:rPr>
        <w:t>进一步完善和落实法律顾问制度，确保管得住、用得好。</w:t>
      </w:r>
      <w:r>
        <w:rPr>
          <w:rFonts w:hint="eastAsia" w:ascii="楷体_GB2312" w:hAnsi="楷体_GB2312" w:eastAsia="楷体_GB2312" w:cs="楷体_GB2312"/>
          <w:sz w:val="32"/>
          <w:szCs w:val="32"/>
          <w:lang w:val="en-US" w:eastAsia="zh-CN"/>
        </w:rPr>
        <w:t>三是全面开展“八五”普法。</w:t>
      </w:r>
      <w:r>
        <w:rPr>
          <w:rFonts w:hint="eastAsia" w:ascii="仿宋_GB2312" w:hAnsi="仿宋_GB2312" w:eastAsia="仿宋_GB2312" w:cs="仿宋_GB2312"/>
          <w:sz w:val="32"/>
          <w:szCs w:val="32"/>
          <w:lang w:val="en-US" w:eastAsia="zh-CN"/>
        </w:rPr>
        <w:t>制定并有序推进“八五”普法规划，</w:t>
      </w:r>
      <w:r>
        <w:rPr>
          <w:rFonts w:hint="eastAsia" w:ascii="仿宋_GB2312" w:hAnsi="仿宋_GB2312" w:eastAsia="仿宋_GB2312" w:cs="仿宋_GB2312"/>
          <w:sz w:val="32"/>
          <w:szCs w:val="32"/>
          <w:lang w:eastAsia="zh-CN"/>
        </w:rPr>
        <w:t>落实领导干部学法用法制度。深入开展法治示范创建活动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大力实施乡村“法律明白人”培育工程</w:t>
      </w:r>
      <w:r>
        <w:rPr>
          <w:rFonts w:hint="eastAsia" w:ascii="仿宋_GB2312" w:hAnsi="仿宋_GB2312" w:eastAsia="仿宋_GB2312" w:cs="仿宋_GB2312"/>
          <w:sz w:val="32"/>
          <w:szCs w:val="32"/>
          <w:lang w:eastAsia="zh-CN"/>
        </w:rPr>
        <w:t>，推动全社会形成尊法学法守法用法的良好法治氛围。</w:t>
      </w:r>
      <w:r>
        <w:rPr>
          <w:rFonts w:hint="eastAsia" w:ascii="楷体_GB2312" w:hAnsi="楷体_GB2312" w:eastAsia="楷体_GB2312" w:cs="楷体_GB2312"/>
          <w:sz w:val="32"/>
          <w:szCs w:val="32"/>
          <w:lang w:val="en-US" w:eastAsia="zh-CN"/>
        </w:rPr>
        <w:t>四是提升公共法律服务质效。</w:t>
      </w:r>
      <w:r>
        <w:rPr>
          <w:rFonts w:hint="eastAsia" w:ascii="仿宋_GB2312" w:hAnsi="仿宋_GB2312" w:eastAsia="仿宋_GB2312" w:cs="仿宋_GB2312"/>
          <w:sz w:val="32"/>
          <w:szCs w:val="32"/>
          <w:lang w:val="en-US" w:eastAsia="zh-CN"/>
        </w:rPr>
        <w:t>积极争取中央、省、市、县的支持，力争司法行政公共法律服务中心建设取得突破。认真宣贯《法律援助法》，积极探索公共法律服务实体平台、热线平台、网络平台融合发展新模式，持续落实法律援助、公证等法律服务。</w:t>
      </w:r>
      <w:r>
        <w:rPr>
          <w:rFonts w:hint="eastAsia" w:ascii="楷体_GB2312" w:hAnsi="楷体_GB2312" w:eastAsia="楷体_GB2312" w:cs="楷体_GB2312"/>
          <w:sz w:val="32"/>
          <w:szCs w:val="32"/>
          <w:lang w:val="en-US" w:eastAsia="zh-CN"/>
        </w:rPr>
        <w:t>五是推进社会治理现代化。</w:t>
      </w:r>
      <w:r>
        <w:rPr>
          <w:rFonts w:hint="eastAsia" w:ascii="仿宋_GB2312" w:hAnsi="仿宋_GB2312" w:eastAsia="仿宋_GB2312" w:cs="仿宋_GB2312"/>
          <w:sz w:val="32"/>
          <w:szCs w:val="32"/>
          <w:lang w:val="en-US" w:eastAsia="zh-CN"/>
        </w:rPr>
        <w:t>巩固规范化司法所创建成果，扎实做好镇村两项改革“后半篇”文章，坚持和发展新时代“枫桥经验”，建立完善“调解+”多元解纷机制，继续争创省级“枫桥式司法所”。依托德古协会，进一步规范德古聘任、考核、补贴制度，定期开展政治理论和法律知识专业培训，发</w:t>
      </w:r>
      <w:r>
        <w:rPr>
          <w:rFonts w:hint="eastAsia" w:ascii="仿宋_GB2312" w:hAnsi="仿宋_GB2312" w:eastAsia="仿宋_GB2312" w:cs="仿宋_GB2312"/>
          <w:sz w:val="32"/>
          <w:szCs w:val="32"/>
          <w:lang w:eastAsia="zh-CN"/>
        </w:rPr>
        <w:t>挥好</w:t>
      </w:r>
      <w:r>
        <w:rPr>
          <w:rFonts w:hint="eastAsia" w:ascii="仿宋_GB2312" w:hAnsi="仿宋_GB2312" w:eastAsia="仿宋_GB2312" w:cs="仿宋_GB2312"/>
          <w:sz w:val="32"/>
          <w:szCs w:val="32"/>
          <w:lang w:val="en-US" w:eastAsia="zh-CN"/>
        </w:rPr>
        <w:t>“德古三话”</w:t>
      </w:r>
      <w:r>
        <w:rPr>
          <w:rFonts w:hint="eastAsia" w:ascii="仿宋_GB2312" w:hAnsi="仿宋_GB2312" w:eastAsia="仿宋_GB2312" w:cs="仿宋_GB2312"/>
          <w:sz w:val="32"/>
          <w:szCs w:val="32"/>
          <w:lang w:eastAsia="zh-CN"/>
        </w:rPr>
        <w:t>彝区矛盾化解、</w:t>
      </w:r>
      <w:r>
        <w:rPr>
          <w:rFonts w:hint="eastAsia" w:ascii="仿宋_GB2312" w:hAnsi="仿宋_GB2312" w:eastAsia="仿宋_GB2312" w:cs="仿宋_GB2312"/>
          <w:sz w:val="32"/>
          <w:szCs w:val="32"/>
          <w:lang w:val="en-US" w:eastAsia="zh-CN"/>
        </w:rPr>
        <w:t>婚嫁“双高”整治等</w:t>
      </w:r>
      <w:r>
        <w:rPr>
          <w:rFonts w:hint="eastAsia" w:ascii="仿宋_GB2312" w:hAnsi="仿宋_GB2312" w:eastAsia="仿宋_GB2312" w:cs="仿宋_GB2312"/>
          <w:sz w:val="32"/>
          <w:szCs w:val="32"/>
          <w:lang w:eastAsia="zh-CN"/>
        </w:rPr>
        <w:t>方面独特作用，</w:t>
      </w:r>
      <w:r>
        <w:rPr>
          <w:rFonts w:hint="eastAsia" w:ascii="仿宋" w:hAnsi="仿宋" w:eastAsia="仿宋" w:cs="仿宋"/>
          <w:b w:val="0"/>
          <w:bCs w:val="0"/>
          <w:color w:val="auto"/>
          <w:sz w:val="32"/>
          <w:szCs w:val="32"/>
          <w:lang w:val="en-US" w:eastAsia="zh-CN"/>
        </w:rPr>
        <w:t>筑牢市域社会治理现代化和基层治理法治根基。</w:t>
      </w:r>
      <w:r>
        <w:rPr>
          <w:rFonts w:hint="eastAsia" w:ascii="楷体_GB2312" w:hAnsi="楷体_GB2312" w:eastAsia="楷体_GB2312" w:cs="楷体_GB2312"/>
          <w:sz w:val="32"/>
          <w:szCs w:val="32"/>
          <w:lang w:val="en-US" w:eastAsia="zh-CN"/>
        </w:rPr>
        <w:t>六是提档升级“智慧矫正”。</w:t>
      </w:r>
      <w:r>
        <w:rPr>
          <w:rFonts w:hint="eastAsia" w:ascii="仿宋_GB2312" w:hAnsi="仿宋_GB2312" w:eastAsia="仿宋_GB2312" w:cs="仿宋_GB2312"/>
          <w:sz w:val="32"/>
          <w:szCs w:val="32"/>
          <w:lang w:eastAsia="zh-CN"/>
        </w:rPr>
        <w:t>深入贯彻落实《社区矫正法》，</w:t>
      </w:r>
      <w:r>
        <w:rPr>
          <w:rFonts w:hint="eastAsia" w:ascii="仿宋" w:hAnsi="仿宋" w:eastAsia="仿宋" w:cs="仿宋"/>
          <w:b w:val="0"/>
          <w:bCs w:val="0"/>
          <w:color w:val="auto"/>
          <w:sz w:val="32"/>
          <w:szCs w:val="32"/>
          <w:lang w:val="en-US" w:eastAsia="zh-CN"/>
        </w:rPr>
        <w:t>健全完善社区矫正体制机制，</w:t>
      </w:r>
      <w:r>
        <w:rPr>
          <w:rFonts w:hint="eastAsia" w:ascii="仿宋_GB2312" w:hAnsi="仿宋_GB2312" w:eastAsia="仿宋_GB2312" w:cs="仿宋_GB2312"/>
          <w:sz w:val="32"/>
          <w:szCs w:val="32"/>
          <w:lang w:eastAsia="zh-CN"/>
        </w:rPr>
        <w:t>发挥社区矫正委员会作用，在现有规范化建设基础上，提档升级软硬件</w:t>
      </w:r>
      <w:r>
        <w:rPr>
          <w:rFonts w:hint="eastAsia" w:ascii="仿宋_GB2312" w:hAnsi="仿宋_GB2312" w:cs="仿宋_GB2312"/>
          <w:sz w:val="32"/>
          <w:szCs w:val="32"/>
          <w:lang w:val="en-US" w:eastAsia="zh-CN"/>
        </w:rPr>
        <w:t>。</w:t>
      </w:r>
    </w:p>
    <w:p>
      <w:pPr>
        <w:pStyle w:val="2"/>
        <w:numPr>
          <w:ilvl w:val="0"/>
          <w:numId w:val="1"/>
        </w:numPr>
        <w:tabs>
          <w:tab w:val="left" w:pos="802"/>
        </w:tabs>
        <w:ind w:left="802" w:leftChars="0" w:firstLine="0" w:firstLineChars="0"/>
        <w:jc w:val="left"/>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部门整体支出绩效目标</w:t>
      </w:r>
    </w:p>
    <w:p>
      <w:pPr>
        <w:numPr>
          <w:ilvl w:val="0"/>
          <w:numId w:val="0"/>
        </w:numPr>
        <w:ind w:left="802" w:leftChars="0"/>
        <w:rPr>
          <w:rFonts w:hint="default"/>
          <w:lang w:val="en-US" w:eastAsia="zh-CN"/>
        </w:rPr>
      </w:pPr>
      <w:r>
        <w:rPr>
          <w:rFonts w:hint="eastAsia"/>
          <w:lang w:val="zh-CN" w:eastAsia="zh-CN"/>
        </w:rPr>
        <w:t>整体支出绩效目标自查得分</w:t>
      </w:r>
      <w:r>
        <w:rPr>
          <w:rFonts w:hint="eastAsia"/>
          <w:lang w:val="en-US" w:eastAsia="zh-CN"/>
        </w:rPr>
        <w:t>94分。</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（一）部门财政资金收入情况。</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仿宋_GB2312" w:hAnsi="宋体" w:eastAsia="仿宋_GB2312"/>
          <w:sz w:val="32"/>
          <w:szCs w:val="32"/>
          <w:lang w:val="en-US"/>
        </w:rPr>
      </w:pPr>
      <w:r>
        <w:rPr>
          <w:rFonts w:hint="eastAsia" w:ascii="仿宋_GB2312" w:hAnsi="宋体" w:eastAsia="仿宋_GB2312"/>
          <w:sz w:val="32"/>
          <w:szCs w:val="32"/>
          <w:lang w:val="en-US" w:eastAsia="zh-CN"/>
        </w:rPr>
        <w:t>202</w:t>
      </w:r>
      <w:r>
        <w:rPr>
          <w:rFonts w:hint="eastAsia" w:ascii="仿宋_GB2312" w:hAnsi="宋体"/>
          <w:sz w:val="32"/>
          <w:szCs w:val="32"/>
          <w:lang w:val="en-US" w:eastAsia="zh-CN"/>
        </w:rPr>
        <w:t>2</w:t>
      </w:r>
      <w:r>
        <w:rPr>
          <w:rFonts w:hint="eastAsia" w:ascii="仿宋_GB2312" w:hAnsi="宋体" w:eastAsia="仿宋_GB2312"/>
          <w:sz w:val="32"/>
          <w:szCs w:val="32"/>
          <w:lang w:val="en-US" w:eastAsia="zh-CN"/>
        </w:rPr>
        <w:t>年财政拨款预算收入</w:t>
      </w:r>
      <w:r>
        <w:rPr>
          <w:rFonts w:hint="eastAsia" w:ascii="仿宋" w:hAnsi="仿宋" w:eastAsia="仿宋" w:cs="Times New Roman"/>
          <w:sz w:val="32"/>
          <w:szCs w:val="32"/>
          <w:lang w:val="en-US" w:eastAsia="zh-CN"/>
        </w:rPr>
        <w:t>992.51</w:t>
      </w:r>
      <w:r>
        <w:rPr>
          <w:rFonts w:hint="eastAsia" w:ascii="仿宋_GB2312" w:hAnsi="宋体" w:eastAsia="仿宋_GB2312"/>
          <w:sz w:val="32"/>
          <w:szCs w:val="32"/>
          <w:lang w:val="en-US" w:eastAsia="zh-CN"/>
        </w:rPr>
        <w:t>万元，</w:t>
      </w:r>
      <w:r>
        <w:rPr>
          <w:rFonts w:hint="eastAsia" w:ascii="仿宋_GB2312" w:hAnsi="宋体"/>
          <w:sz w:val="32"/>
          <w:szCs w:val="32"/>
          <w:lang w:val="en-US" w:eastAsia="zh-CN"/>
        </w:rPr>
        <w:t>财政拨款收入</w:t>
      </w:r>
      <w:r>
        <w:rPr>
          <w:rFonts w:hint="eastAsia" w:ascii="仿宋" w:hAnsi="仿宋" w:eastAsia="仿宋" w:cs="Times New Roman"/>
          <w:sz w:val="32"/>
          <w:szCs w:val="32"/>
          <w:lang w:val="en-US" w:eastAsia="zh-CN"/>
        </w:rPr>
        <w:t>992.51</w:t>
      </w:r>
      <w:r>
        <w:rPr>
          <w:rFonts w:hint="eastAsia" w:ascii="仿宋_GB2312" w:hAnsi="宋体" w:eastAsia="仿宋_GB2312"/>
          <w:sz w:val="32"/>
          <w:szCs w:val="32"/>
          <w:lang w:val="en-US" w:eastAsia="zh-CN"/>
        </w:rPr>
        <w:t>万元</w:t>
      </w:r>
      <w:r>
        <w:rPr>
          <w:rFonts w:hint="eastAsia" w:ascii="仿宋_GB2312" w:hAnsi="宋体"/>
          <w:sz w:val="32"/>
          <w:szCs w:val="32"/>
          <w:lang w:val="en-US" w:eastAsia="zh-CN"/>
        </w:rPr>
        <w:t>（本年收入966.43万元加结转金26.08万元）</w:t>
      </w:r>
      <w:r>
        <w:rPr>
          <w:rFonts w:hint="eastAsia" w:ascii="仿宋_GB2312" w:hAnsi="宋体" w:eastAsia="仿宋_GB2312"/>
          <w:sz w:val="32"/>
          <w:szCs w:val="32"/>
          <w:lang w:val="en-US" w:eastAsia="zh-CN"/>
        </w:rPr>
        <w:t>。</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（二）部门财政资金支出情况。</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rPr>
        <w:t>基本支出</w:t>
      </w:r>
      <w:r>
        <w:rPr>
          <w:rFonts w:hint="eastAsia" w:ascii="仿宋_GB2312" w:hAnsi="宋体" w:eastAsia="仿宋_GB2312"/>
          <w:sz w:val="32"/>
          <w:szCs w:val="32"/>
          <w:lang w:val="en-US" w:eastAsia="zh-CN"/>
        </w:rPr>
        <w:t xml:space="preserve"> 850</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65万元，项目支出</w:t>
      </w:r>
      <w:r>
        <w:rPr>
          <w:rFonts w:hint="eastAsia" w:ascii="仿宋_GB2312" w:hAnsi="宋体"/>
          <w:sz w:val="32"/>
          <w:szCs w:val="32"/>
          <w:lang w:val="en-US" w:eastAsia="zh-CN"/>
        </w:rPr>
        <w:t>141.85</w:t>
      </w:r>
      <w:r>
        <w:rPr>
          <w:rFonts w:hint="eastAsia" w:ascii="仿宋_GB2312" w:hAnsi="宋体" w:eastAsia="仿宋_GB2312"/>
          <w:sz w:val="32"/>
          <w:szCs w:val="32"/>
          <w:lang w:val="en-US" w:eastAsia="zh-CN"/>
        </w:rPr>
        <w:t>万元</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其中</w:t>
      </w:r>
      <w:r>
        <w:rPr>
          <w:rFonts w:hint="eastAsia" w:ascii="仿宋_GB2312" w:hAnsi="宋体"/>
          <w:sz w:val="32"/>
          <w:szCs w:val="32"/>
          <w:lang w:val="en-US" w:eastAsia="zh-CN"/>
        </w:rPr>
        <w:t>一般行政管理事务</w:t>
      </w:r>
      <w:r>
        <w:rPr>
          <w:rFonts w:hint="eastAsia" w:ascii="仿宋_GB2312" w:hAnsi="宋体" w:eastAsia="仿宋_GB2312"/>
          <w:sz w:val="32"/>
          <w:szCs w:val="32"/>
          <w:lang w:val="en-US" w:eastAsia="zh-CN"/>
        </w:rPr>
        <w:t>36</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4</w:t>
      </w:r>
      <w:r>
        <w:rPr>
          <w:rFonts w:hint="eastAsia" w:ascii="仿宋_GB2312" w:hAnsi="宋体"/>
          <w:sz w:val="32"/>
          <w:szCs w:val="32"/>
          <w:lang w:val="en-US" w:eastAsia="zh-CN"/>
        </w:rPr>
        <w:t>万元</w:t>
      </w:r>
      <w:r>
        <w:rPr>
          <w:rFonts w:hint="eastAsia" w:ascii="仿宋_GB2312" w:hAnsi="宋体" w:eastAsia="仿宋_GB2312"/>
          <w:sz w:val="32"/>
          <w:szCs w:val="32"/>
          <w:lang w:val="en-US" w:eastAsia="zh-CN"/>
        </w:rPr>
        <w:t>，</w:t>
      </w:r>
      <w:r>
        <w:rPr>
          <w:rFonts w:hint="eastAsia" w:ascii="仿宋_GB2312" w:hAnsi="宋体"/>
          <w:sz w:val="32"/>
          <w:szCs w:val="32"/>
          <w:lang w:val="en-US" w:eastAsia="zh-CN"/>
        </w:rPr>
        <w:t>基层司法业务85.87万元，</w:t>
      </w:r>
      <w:r>
        <w:rPr>
          <w:rFonts w:hint="eastAsia" w:ascii="仿宋_GB2312" w:hAnsi="宋体" w:eastAsia="仿宋_GB2312"/>
          <w:sz w:val="32"/>
          <w:szCs w:val="32"/>
          <w:lang w:val="en-US" w:eastAsia="zh-CN"/>
        </w:rPr>
        <w:t>普法</w:t>
      </w:r>
      <w:r>
        <w:rPr>
          <w:rFonts w:hint="eastAsia" w:ascii="仿宋_GB2312" w:hAnsi="宋体"/>
          <w:sz w:val="32"/>
          <w:szCs w:val="32"/>
          <w:lang w:val="en-US" w:eastAsia="zh-CN"/>
        </w:rPr>
        <w:t>宣传9.78</w:t>
      </w:r>
      <w:r>
        <w:rPr>
          <w:rFonts w:hint="eastAsia" w:ascii="仿宋_GB2312" w:hAnsi="宋体" w:eastAsia="仿宋_GB2312"/>
          <w:sz w:val="32"/>
          <w:szCs w:val="32"/>
          <w:lang w:val="en-US" w:eastAsia="zh-CN"/>
        </w:rPr>
        <w:t>万元，法治建设</w:t>
      </w:r>
      <w:r>
        <w:rPr>
          <w:rFonts w:hint="eastAsia" w:ascii="仿宋_GB2312" w:hAnsi="宋体"/>
          <w:sz w:val="32"/>
          <w:szCs w:val="32"/>
          <w:lang w:val="en-US" w:eastAsia="zh-CN"/>
        </w:rPr>
        <w:t>9.8</w:t>
      </w:r>
      <w:r>
        <w:rPr>
          <w:rFonts w:hint="eastAsia" w:ascii="仿宋_GB2312" w:hAnsi="宋体" w:eastAsia="仿宋_GB2312"/>
          <w:sz w:val="32"/>
          <w:szCs w:val="32"/>
          <w:lang w:val="en-US" w:eastAsia="zh-CN"/>
        </w:rPr>
        <w:t>万元</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w:t>
      </w:r>
    </w:p>
    <w:p>
      <w:pPr>
        <w:pStyle w:val="2"/>
        <w:numPr>
          <w:ilvl w:val="0"/>
          <w:numId w:val="0"/>
        </w:numPr>
        <w:tabs>
          <w:tab w:val="left" w:pos="929"/>
        </w:tabs>
        <w:ind w:firstLine="640" w:firstLineChars="200"/>
        <w:jc w:val="left"/>
        <w:rPr>
          <w:rFonts w:hint="default"/>
          <w:lang w:val="en-US" w:eastAsia="zh-CN"/>
        </w:rPr>
      </w:pPr>
      <w:r>
        <w:rPr>
          <w:rFonts w:hint="eastAsia" w:ascii="仿宋_GB2312" w:hAnsi="宋体" w:eastAsia="仿宋_GB2312"/>
          <w:sz w:val="32"/>
          <w:szCs w:val="32"/>
          <w:lang w:val="en-US" w:eastAsia="zh-CN"/>
        </w:rPr>
        <w:t>（三）部门财政资金结转结余情况。</w:t>
      </w:r>
    </w:p>
    <w:p>
      <w:pPr>
        <w:tabs>
          <w:tab w:val="left" w:pos="790"/>
        </w:tabs>
        <w:rPr>
          <w:rFonts w:hint="default"/>
          <w:lang w:val="en-US" w:eastAsia="zh-CN"/>
        </w:rPr>
      </w:pPr>
      <w:r>
        <w:rPr>
          <w:rFonts w:hint="eastAsia"/>
          <w:lang w:val="en-US" w:eastAsia="zh-CN"/>
        </w:rPr>
        <w:tab/>
      </w:r>
      <w:r>
        <w:rPr>
          <w:rFonts w:hint="eastAsia"/>
          <w:lang w:val="en-US" w:eastAsia="zh-CN"/>
        </w:rPr>
        <w:t>2022年结转结余资金 26.08万元。</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黑体"/>
          <w:sz w:val="32"/>
          <w:szCs w:val="32"/>
          <w:lang w:eastAsia="zh-CN"/>
        </w:rPr>
      </w:pPr>
      <w:r>
        <w:rPr>
          <w:rFonts w:hint="eastAsia" w:ascii="黑体" w:hAnsi="宋体" w:eastAsia="黑体" w:cs="宋体"/>
          <w:color w:val="000000"/>
          <w:kern w:val="0"/>
          <w:szCs w:val="32"/>
          <w:shd w:val="clear" w:color="auto" w:fill="FFFFFF"/>
        </w:rPr>
        <w:t>三、部门整体</w:t>
      </w:r>
      <w:r>
        <w:rPr>
          <w:rFonts w:hint="eastAsia" w:ascii="黑体" w:hAnsi="宋体" w:eastAsia="黑体" w:cs="宋体"/>
          <w:color w:val="000000"/>
          <w:kern w:val="0"/>
          <w:szCs w:val="32"/>
          <w:shd w:val="clear" w:color="auto" w:fill="FFFFFF"/>
          <w:lang w:eastAsia="zh-CN"/>
        </w:rPr>
        <w:t>绩效管理</w:t>
      </w:r>
      <w:r>
        <w:rPr>
          <w:rFonts w:hint="eastAsia" w:ascii="黑体" w:hAnsi="宋体" w:eastAsia="黑体" w:cs="宋体"/>
          <w:color w:val="000000"/>
          <w:kern w:val="0"/>
          <w:szCs w:val="32"/>
          <w:shd w:val="clear" w:color="auto" w:fill="FFFFFF"/>
        </w:rPr>
        <w:t>情况</w:t>
      </w:r>
      <w:r>
        <w:rPr>
          <w:rFonts w:hint="eastAsia" w:ascii="黑体" w:hAnsi="宋体" w:eastAsia="黑体" w:cs="宋体"/>
          <w:color w:val="000000"/>
          <w:kern w:val="0"/>
          <w:szCs w:val="32"/>
          <w:shd w:val="clear" w:color="auto" w:fill="FFFFFF"/>
          <w:lang w:eastAsia="zh-CN"/>
        </w:rPr>
        <w:t>（根据自评体系进行描述）</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（一）部门整体履职绩效分析。</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sz w:val="32"/>
          <w:szCs w:val="32"/>
          <w:lang w:val="en-US" w:eastAsia="zh-CN"/>
        </w:rPr>
        <w:t>围绕部门整体目标，</w:t>
      </w:r>
      <w:r>
        <w:rPr>
          <w:rFonts w:hint="default" w:ascii="仿宋_GB2312" w:hAnsi="宋体" w:eastAsia="仿宋_GB2312"/>
          <w:sz w:val="32"/>
          <w:szCs w:val="32"/>
          <w:lang w:val="en-US" w:eastAsia="zh-CN"/>
        </w:rPr>
        <w:t>支出总额控制在预算总额以内，制度执行总体较为有效，但仍需进一步强化，资金使用管理需进一步加强。</w:t>
      </w:r>
    </w:p>
    <w:p>
      <w:pPr>
        <w:keepNext w:val="0"/>
        <w:keepLines w:val="0"/>
        <w:pageBreakBefore w:val="0"/>
        <w:numPr>
          <w:ilvl w:val="0"/>
          <w:numId w:val="2"/>
        </w:numPr>
        <w:kinsoku/>
        <w:wordWrap/>
        <w:overflowPunct/>
        <w:topLinePunct w:val="0"/>
        <w:autoSpaceDN/>
        <w:bidi w:val="0"/>
        <w:adjustRightInd/>
        <w:spacing w:line="600" w:lineRule="exact"/>
        <w:ind w:firstLine="640" w:firstLineChars="200"/>
        <w:textAlignment w:val="auto"/>
        <w:rPr>
          <w:rFonts w:hint="eastAsia" w:ascii="仿宋_GB2312" w:hAnsi="宋体"/>
          <w:sz w:val="32"/>
          <w:szCs w:val="32"/>
          <w:lang w:val="en-US" w:eastAsia="zh-CN"/>
        </w:rPr>
      </w:pPr>
      <w:r>
        <w:rPr>
          <w:rFonts w:hint="eastAsia" w:ascii="仿宋_GB2312" w:hAnsi="宋体"/>
          <w:sz w:val="32"/>
          <w:szCs w:val="32"/>
          <w:lang w:val="en-US" w:eastAsia="zh-CN"/>
        </w:rPr>
        <w:t>特定目标类项目绩效分析。</w:t>
      </w:r>
    </w:p>
    <w:p>
      <w:pPr>
        <w:keepNext w:val="0"/>
        <w:keepLines w:val="0"/>
        <w:pageBreakBefore w:val="0"/>
        <w:numPr>
          <w:ilvl w:val="0"/>
          <w:numId w:val="3"/>
        </w:numPr>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sz w:val="32"/>
          <w:szCs w:val="32"/>
          <w:lang w:val="en-US" w:eastAsia="zh-CN"/>
        </w:rPr>
        <w:t>整体情况：</w:t>
      </w:r>
      <w:r>
        <w:rPr>
          <w:rFonts w:hint="eastAsia" w:ascii="仿宋_GB2312" w:hAnsi="宋体" w:eastAsia="仿宋_GB2312"/>
          <w:sz w:val="32"/>
          <w:szCs w:val="32"/>
          <w:lang w:val="en-US" w:eastAsia="zh-CN"/>
        </w:rPr>
        <w:t>在经费管理方面，坚持“先预算，后支出”，实行预算全覆盖，各项收入和支出全部纳入预算管理，统筹安排使用，优化使用结构，保证重点项目实施。严格执行《政府采购法》，按照政府采购的标准和要求执行政府采购工作。</w:t>
      </w:r>
      <w:r>
        <w:rPr>
          <w:rFonts w:hint="default" w:ascii="仿宋_GB2312" w:hAnsi="宋体" w:eastAsia="仿宋_GB2312"/>
          <w:sz w:val="32"/>
          <w:szCs w:val="32"/>
          <w:lang w:val="en-US" w:eastAsia="zh-CN"/>
        </w:rPr>
        <w:t>进一步优化支出结构，控制三公经费支出，压缩一般性支出，坚决抵制铺张浪费行为，降低政府运行成本，从财政自身做起，合理调度财政资金，保证政府机构正常的工作运转，实现财政资金利益最大化</w:t>
      </w:r>
      <w:r>
        <w:rPr>
          <w:rFonts w:hint="eastAsia" w:ascii="仿宋_GB2312" w:hAnsi="宋体"/>
          <w:sz w:val="32"/>
          <w:szCs w:val="32"/>
          <w:lang w:val="en-US" w:eastAsia="zh-CN"/>
        </w:rPr>
        <w:t>，无违规记录情况。</w:t>
      </w:r>
    </w:p>
    <w:p>
      <w:pPr>
        <w:keepNext w:val="0"/>
        <w:keepLines w:val="0"/>
        <w:pageBreakBefore w:val="0"/>
        <w:numPr>
          <w:ilvl w:val="0"/>
          <w:numId w:val="3"/>
        </w:numPr>
        <w:kinsoku/>
        <w:wordWrap/>
        <w:overflowPunct/>
        <w:topLinePunct w:val="0"/>
        <w:autoSpaceDN/>
        <w:bidi w:val="0"/>
        <w:adjustRightInd/>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sz w:val="32"/>
          <w:szCs w:val="32"/>
          <w:lang w:val="en-US" w:eastAsia="zh-CN"/>
        </w:rPr>
        <w:t>无100万以上项目。</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（二）绩效结果应用</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1、信息公开情况：根据县财政局统一安排，在规定时间按照统一格式、内容、口径在单位门户网站公开了202</w:t>
      </w:r>
      <w:r>
        <w:rPr>
          <w:rFonts w:hint="eastAsia" w:ascii="仿宋_GB2312" w:hAnsi="宋体"/>
          <w:sz w:val="32"/>
          <w:szCs w:val="32"/>
          <w:lang w:val="en-US" w:eastAsia="zh-CN"/>
        </w:rPr>
        <w:t>2</w:t>
      </w:r>
      <w:r>
        <w:rPr>
          <w:rFonts w:hint="eastAsia" w:ascii="仿宋_GB2312" w:hAnsi="宋体" w:eastAsia="仿宋_GB2312"/>
          <w:sz w:val="32"/>
          <w:szCs w:val="32"/>
          <w:lang w:val="en-US" w:eastAsia="zh-CN"/>
        </w:rPr>
        <w:t>年部门预算、信息，做到基础数据真实、准确、完整。</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zh-CN"/>
        </w:rPr>
      </w:pPr>
      <w:r>
        <w:rPr>
          <w:rFonts w:hint="eastAsia" w:ascii="仿宋_GB2312" w:hAnsi="宋体" w:eastAsia="仿宋_GB2312"/>
          <w:sz w:val="32"/>
          <w:szCs w:val="32"/>
          <w:lang w:val="en-US" w:eastAsia="zh-CN"/>
        </w:rPr>
        <w:t>2、结果运用情况：202</w:t>
      </w:r>
      <w:r>
        <w:rPr>
          <w:rFonts w:hint="eastAsia" w:ascii="仿宋_GB2312" w:hAnsi="宋体"/>
          <w:sz w:val="32"/>
          <w:szCs w:val="32"/>
          <w:lang w:val="en-US" w:eastAsia="zh-CN"/>
        </w:rPr>
        <w:t>2</w:t>
      </w:r>
      <w:r>
        <w:rPr>
          <w:rFonts w:hint="eastAsia" w:ascii="仿宋_GB2312" w:hAnsi="宋体" w:eastAsia="仿宋_GB2312"/>
          <w:sz w:val="32"/>
          <w:szCs w:val="32"/>
        </w:rPr>
        <w:t>年，根据年初工作规划和重点工作，围绕</w:t>
      </w:r>
      <w:r>
        <w:rPr>
          <w:rFonts w:hint="eastAsia" w:ascii="仿宋_GB2312" w:hAnsi="宋体" w:eastAsia="仿宋_GB2312"/>
          <w:sz w:val="32"/>
          <w:szCs w:val="32"/>
          <w:lang w:eastAsia="zh-CN"/>
        </w:rPr>
        <w:t>县</w:t>
      </w:r>
      <w:r>
        <w:rPr>
          <w:rFonts w:hint="eastAsia" w:ascii="仿宋_GB2312" w:hAnsi="宋体" w:eastAsia="仿宋_GB2312"/>
          <w:sz w:val="32"/>
          <w:szCs w:val="32"/>
        </w:rPr>
        <w:t>委、</w:t>
      </w:r>
      <w:r>
        <w:rPr>
          <w:rFonts w:hint="eastAsia" w:ascii="仿宋_GB2312" w:hAnsi="宋体" w:eastAsia="仿宋_GB2312"/>
          <w:sz w:val="32"/>
          <w:szCs w:val="32"/>
          <w:lang w:eastAsia="zh-CN"/>
        </w:rPr>
        <w:t>县</w:t>
      </w:r>
      <w:r>
        <w:rPr>
          <w:rFonts w:hint="eastAsia" w:ascii="仿宋_GB2312" w:hAnsi="宋体" w:eastAsia="仿宋_GB2312"/>
          <w:sz w:val="32"/>
          <w:szCs w:val="32"/>
        </w:rPr>
        <w:t>政府的工作部署，积极履行职责，强化管理，较好地完成了年度工作目标，同时加强预算收支的管理，建立健全内部管理制度，严格内部管理流程，部门整体支出管理得到了提升。</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rPr>
      </w:pPr>
      <w:r>
        <w:rPr>
          <w:rFonts w:hint="eastAsia" w:ascii="黑体" w:hAnsi="宋体" w:eastAsia="黑体" w:cs="宋体"/>
          <w:color w:val="000000"/>
          <w:kern w:val="0"/>
          <w:szCs w:val="32"/>
          <w:shd w:val="clear" w:color="auto" w:fill="FFFFFF"/>
        </w:rPr>
        <w:t>四、评价结论及建议</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（一）评价结论</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zh-CN"/>
        </w:rPr>
      </w:pPr>
      <w:r>
        <w:rPr>
          <w:rFonts w:hint="eastAsia" w:ascii="仿宋_GB2312" w:hAnsi="宋体" w:eastAsia="仿宋_GB2312"/>
          <w:sz w:val="32"/>
          <w:szCs w:val="32"/>
          <w:lang w:val="zh-CN"/>
        </w:rPr>
        <w:t>根据《峨边彝族自治县财政局 关于开展20</w:t>
      </w:r>
      <w:r>
        <w:rPr>
          <w:rFonts w:hint="eastAsia" w:ascii="仿宋_GB2312" w:hAnsi="宋体" w:eastAsia="仿宋_GB2312"/>
          <w:sz w:val="32"/>
          <w:szCs w:val="32"/>
          <w:lang w:val="en-US" w:eastAsia="zh-CN"/>
        </w:rPr>
        <w:t>2</w:t>
      </w:r>
      <w:r>
        <w:rPr>
          <w:rFonts w:hint="eastAsia" w:ascii="仿宋_GB2312" w:hAnsi="宋体"/>
          <w:sz w:val="32"/>
          <w:szCs w:val="32"/>
          <w:lang w:val="en-US" w:eastAsia="zh-CN"/>
        </w:rPr>
        <w:t>2</w:t>
      </w:r>
      <w:r>
        <w:rPr>
          <w:rFonts w:hint="eastAsia" w:ascii="仿宋_GB2312" w:hAnsi="宋体" w:eastAsia="仿宋_GB2312"/>
          <w:sz w:val="32"/>
          <w:szCs w:val="32"/>
          <w:lang w:val="zh-CN"/>
        </w:rPr>
        <w:t>年</w:t>
      </w:r>
      <w:r>
        <w:rPr>
          <w:rFonts w:hint="eastAsia" w:ascii="仿宋_GB2312" w:hAnsi="宋体"/>
          <w:sz w:val="32"/>
          <w:szCs w:val="32"/>
          <w:lang w:val="zh-CN"/>
        </w:rPr>
        <w:t>部门整体、项目支出预算绩效</w:t>
      </w:r>
      <w:r>
        <w:rPr>
          <w:rFonts w:hint="eastAsia" w:ascii="仿宋_GB2312" w:hAnsi="宋体" w:eastAsia="仿宋_GB2312"/>
          <w:sz w:val="32"/>
          <w:szCs w:val="32"/>
          <w:lang w:val="zh-CN"/>
        </w:rPr>
        <w:t>评价工作的通知》文件精神，</w:t>
      </w:r>
      <w:r>
        <w:rPr>
          <w:rFonts w:hint="eastAsia" w:ascii="仿宋_GB2312" w:hAnsi="宋体" w:eastAsia="仿宋_GB2312"/>
          <w:sz w:val="32"/>
          <w:szCs w:val="32"/>
          <w:lang w:val="en-US" w:eastAsia="zh-CN"/>
        </w:rPr>
        <w:t>我局认真组织开展了部门整体支出绩效评价工作，绩效评价</w:t>
      </w:r>
      <w:r>
        <w:rPr>
          <w:rFonts w:hint="eastAsia" w:ascii="仿宋_GB2312" w:hAnsi="宋体" w:eastAsia="仿宋_GB2312"/>
          <w:sz w:val="32"/>
          <w:szCs w:val="32"/>
          <w:lang w:val="zh-CN"/>
        </w:rPr>
        <w:t>得分：</w:t>
      </w:r>
      <w:r>
        <w:rPr>
          <w:rFonts w:hint="eastAsia" w:ascii="仿宋_GB2312" w:hAnsi="宋体" w:eastAsia="仿宋_GB2312"/>
          <w:sz w:val="32"/>
          <w:szCs w:val="32"/>
          <w:lang w:val="en-US" w:eastAsia="zh-CN"/>
        </w:rPr>
        <w:t>9</w:t>
      </w:r>
      <w:r>
        <w:rPr>
          <w:rFonts w:hint="eastAsia" w:ascii="仿宋_GB2312" w:hAnsi="宋体"/>
          <w:sz w:val="32"/>
          <w:szCs w:val="32"/>
          <w:lang w:val="en-US" w:eastAsia="zh-CN"/>
        </w:rPr>
        <w:t>5</w:t>
      </w:r>
      <w:r>
        <w:rPr>
          <w:rFonts w:hint="eastAsia" w:ascii="仿宋_GB2312" w:hAnsi="宋体" w:eastAsia="仿宋_GB2312"/>
          <w:sz w:val="32"/>
          <w:szCs w:val="32"/>
          <w:lang w:val="zh-CN"/>
        </w:rPr>
        <w:t>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（二）存在问题</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1、部分项目资金支付进度滞后。</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2、进一步完善财务管理制度、固定资产管理制度、费用报销规程等制度，进一步强化财务约束监督体制。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楷体_GB2312" w:hAnsi="楷体_GB2312" w:eastAsia="楷体_GB2312" w:cs="楷体_GB2312"/>
          <w:sz w:val="32"/>
          <w:szCs w:val="32"/>
          <w:lang w:val="zh-CN" w:eastAsia="zh-CN"/>
        </w:rPr>
      </w:pPr>
      <w:r>
        <w:rPr>
          <w:rFonts w:hint="eastAsia" w:ascii="楷体_GB2312" w:hAnsi="楷体_GB2312" w:eastAsia="楷体_GB2312" w:cs="楷体_GB2312"/>
          <w:sz w:val="32"/>
          <w:szCs w:val="32"/>
          <w:lang w:val="zh-CN" w:eastAsia="zh-CN"/>
        </w:rPr>
        <w:t>（三）改进建议</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1、进一步加强单位内部机构各股室的预算管理意识，严格按照预算编制的相关制度和要求进行预算编制。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2、规范单位财务行为。在费用报账支付时，按照预算规定的费用项目和用途进行资金使用审核、列报支付、财务核算，杜绝超支现象的发生。</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zh-CN"/>
        </w:rPr>
      </w:pPr>
      <w:r>
        <w:rPr>
          <w:rFonts w:hint="eastAsia" w:ascii="仿宋_GB2312" w:hAnsi="宋体" w:eastAsia="仿宋_GB2312"/>
          <w:sz w:val="32"/>
          <w:szCs w:val="32"/>
          <w:lang w:val="en-US" w:eastAsia="zh-CN"/>
        </w:rPr>
        <w:t>3、规范专项资金管理</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严格实行项目管理程序</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项目申报、实施、拨付、评价全流程</w:t>
      </w:r>
      <w:r>
        <w:rPr>
          <w:rFonts w:hint="eastAsia" w:ascii="仿宋_GB2312" w:hAnsi="宋体"/>
          <w:sz w:val="32"/>
          <w:szCs w:val="32"/>
          <w:lang w:val="en-US" w:eastAsia="zh-CN"/>
        </w:rPr>
        <w:t>)</w:t>
      </w:r>
      <w:r>
        <w:rPr>
          <w:rFonts w:hint="eastAsia" w:ascii="仿宋_GB2312" w:hAnsi="宋体" w:eastAsia="仿宋_GB2312"/>
          <w:sz w:val="32"/>
          <w:szCs w:val="32"/>
          <w:lang w:val="en-US" w:eastAsia="zh-CN"/>
        </w:rPr>
        <w:t>。</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p>
    <w:p>
      <w:pPr>
        <w:keepNext w:val="0"/>
        <w:keepLines w:val="0"/>
        <w:pageBreakBefore w:val="0"/>
        <w:kinsoku/>
        <w:wordWrap/>
        <w:overflowPunct/>
        <w:topLinePunct w:val="0"/>
        <w:autoSpaceDN/>
        <w:bidi w:val="0"/>
        <w:adjustRightInd/>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峨边彝族自治县司法局</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202</w:t>
      </w:r>
      <w:r>
        <w:rPr>
          <w:rFonts w:hint="eastAsia" w:ascii="仿宋_GB2312" w:hAnsi="宋体"/>
          <w:sz w:val="32"/>
          <w:szCs w:val="32"/>
          <w:lang w:val="en-US" w:eastAsia="zh-CN"/>
        </w:rPr>
        <w:t>3</w:t>
      </w:r>
      <w:r>
        <w:rPr>
          <w:rFonts w:hint="eastAsia" w:ascii="仿宋_GB2312" w:hAnsi="宋体" w:eastAsia="仿宋_GB2312"/>
          <w:sz w:val="32"/>
          <w:szCs w:val="32"/>
          <w:lang w:val="en-US" w:eastAsia="zh-CN"/>
        </w:rPr>
        <w:t>年</w:t>
      </w:r>
      <w:r>
        <w:rPr>
          <w:rFonts w:hint="eastAsia" w:ascii="仿宋_GB2312" w:hAnsi="宋体"/>
          <w:sz w:val="32"/>
          <w:szCs w:val="32"/>
          <w:lang w:val="en-US" w:eastAsia="zh-CN"/>
        </w:rPr>
        <w:t>7</w:t>
      </w:r>
      <w:r>
        <w:rPr>
          <w:rFonts w:hint="eastAsia" w:ascii="仿宋_GB2312" w:hAnsi="宋体" w:eastAsia="仿宋_GB2312"/>
          <w:sz w:val="32"/>
          <w:szCs w:val="32"/>
          <w:lang w:val="en-US" w:eastAsia="zh-CN"/>
        </w:rPr>
        <w:t>月</w:t>
      </w:r>
      <w:r>
        <w:rPr>
          <w:rFonts w:hint="eastAsia" w:ascii="仿宋_GB2312" w:hAnsi="宋体"/>
          <w:sz w:val="32"/>
          <w:szCs w:val="32"/>
          <w:lang w:val="en-US" w:eastAsia="zh-CN"/>
        </w:rPr>
        <w:t>4</w:t>
      </w:r>
      <w:r>
        <w:rPr>
          <w:rFonts w:hint="eastAsia" w:ascii="仿宋_GB2312" w:hAnsi="宋体" w:eastAsia="仿宋_GB2312"/>
          <w:sz w:val="32"/>
          <w:szCs w:val="32"/>
          <w:lang w:val="en-US" w:eastAsia="zh-CN"/>
        </w:rPr>
        <w:t>日</w:t>
      </w:r>
      <w:bookmarkStart w:id="0" w:name="_GoBack"/>
      <w:bookmarkEnd w:id="0"/>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00000" w:csb1="00000000"/>
  </w:font>
  <w:font w:name="方正小标宋简体">
    <w:altName w:val="宋体"/>
    <w:panose1 w:val="02000000000000000000"/>
    <w:charset w:val="86"/>
    <w:family w:val="script"/>
    <w:pitch w:val="default"/>
    <w:sig w:usb0="00000000" w:usb1="00000000" w:usb2="00000000" w:usb3="00000000" w:csb0="00000000" w:csb1="00000000"/>
  </w:font>
  <w:font w:name="??">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docPartObj>
        <w:docPartGallery w:val="autotext"/>
      </w:docPartObj>
    </w:sdtPr>
    <w:sdtContent>
      <w:p>
        <w:pPr>
          <w:pStyle w:val="6"/>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6"/>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C543F"/>
    <w:multiLevelType w:val="singleLevel"/>
    <w:tmpl w:val="2D2C543F"/>
    <w:lvl w:ilvl="0" w:tentative="0">
      <w:start w:val="2"/>
      <w:numFmt w:val="chineseCounting"/>
      <w:suff w:val="nothing"/>
      <w:lvlText w:val="（%1）"/>
      <w:lvlJc w:val="left"/>
      <w:rPr>
        <w:rFonts w:hint="eastAsia"/>
      </w:rPr>
    </w:lvl>
  </w:abstractNum>
  <w:abstractNum w:abstractNumId="1">
    <w:nsid w:val="3270610F"/>
    <w:multiLevelType w:val="singleLevel"/>
    <w:tmpl w:val="3270610F"/>
    <w:lvl w:ilvl="0" w:tentative="0">
      <w:start w:val="4"/>
      <w:numFmt w:val="chineseCounting"/>
      <w:suff w:val="nothing"/>
      <w:lvlText w:val="（%1）"/>
      <w:lvlJc w:val="left"/>
      <w:pPr>
        <w:ind w:left="802" w:leftChars="0" w:firstLine="0" w:firstLineChars="0"/>
      </w:pPr>
      <w:rPr>
        <w:rFonts w:hint="eastAsia"/>
      </w:rPr>
    </w:lvl>
  </w:abstractNum>
  <w:abstractNum w:abstractNumId="2">
    <w:nsid w:val="52B1D69B"/>
    <w:multiLevelType w:val="singleLevel"/>
    <w:tmpl w:val="52B1D69B"/>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160532"/>
    <w:rsid w:val="035D17B9"/>
    <w:rsid w:val="04785041"/>
    <w:rsid w:val="08591487"/>
    <w:rsid w:val="09D637E4"/>
    <w:rsid w:val="0A407763"/>
    <w:rsid w:val="0B272559"/>
    <w:rsid w:val="0C0E242D"/>
    <w:rsid w:val="0D137BEC"/>
    <w:rsid w:val="0D162CF9"/>
    <w:rsid w:val="10917075"/>
    <w:rsid w:val="10BE132C"/>
    <w:rsid w:val="14BB646D"/>
    <w:rsid w:val="1E825A46"/>
    <w:rsid w:val="1F6F64ED"/>
    <w:rsid w:val="205F72A2"/>
    <w:rsid w:val="20792DC8"/>
    <w:rsid w:val="212B2455"/>
    <w:rsid w:val="22B16AF9"/>
    <w:rsid w:val="24E44327"/>
    <w:rsid w:val="26C65C86"/>
    <w:rsid w:val="270D450E"/>
    <w:rsid w:val="286671FD"/>
    <w:rsid w:val="29391FA1"/>
    <w:rsid w:val="2C05733A"/>
    <w:rsid w:val="2D4760BB"/>
    <w:rsid w:val="2F4C7AA6"/>
    <w:rsid w:val="2F9E389C"/>
    <w:rsid w:val="307C1A60"/>
    <w:rsid w:val="39017F47"/>
    <w:rsid w:val="3A19022F"/>
    <w:rsid w:val="3A1B65FF"/>
    <w:rsid w:val="3BB2773F"/>
    <w:rsid w:val="3D015D1B"/>
    <w:rsid w:val="3DAE0E57"/>
    <w:rsid w:val="40273E03"/>
    <w:rsid w:val="43AB1BE6"/>
    <w:rsid w:val="43BC772C"/>
    <w:rsid w:val="43BD0999"/>
    <w:rsid w:val="46637735"/>
    <w:rsid w:val="47DD7CEA"/>
    <w:rsid w:val="4802155C"/>
    <w:rsid w:val="48C80C76"/>
    <w:rsid w:val="48EC3B7E"/>
    <w:rsid w:val="4C7621B7"/>
    <w:rsid w:val="4E2330F5"/>
    <w:rsid w:val="503713ED"/>
    <w:rsid w:val="50F71100"/>
    <w:rsid w:val="51676880"/>
    <w:rsid w:val="518F40AB"/>
    <w:rsid w:val="5227380D"/>
    <w:rsid w:val="54965F9C"/>
    <w:rsid w:val="58865B16"/>
    <w:rsid w:val="589D3541"/>
    <w:rsid w:val="5ADC5AE6"/>
    <w:rsid w:val="5B041382"/>
    <w:rsid w:val="624266F9"/>
    <w:rsid w:val="63AA4FA9"/>
    <w:rsid w:val="65046871"/>
    <w:rsid w:val="6DE75E4C"/>
    <w:rsid w:val="71E73EAE"/>
    <w:rsid w:val="73596DAF"/>
    <w:rsid w:val="75FC33BD"/>
    <w:rsid w:val="7A54526B"/>
    <w:rsid w:val="7A6E154D"/>
    <w:rsid w:val="7A7431FD"/>
    <w:rsid w:val="7A9024C0"/>
    <w:rsid w:val="7AA40024"/>
    <w:rsid w:val="7F1C10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line="700" w:lineRule="exact"/>
      <w:jc w:val="center"/>
    </w:pPr>
    <w:rPr>
      <w:rFonts w:eastAsia="方正小标宋简体"/>
      <w:color w:val="000000"/>
      <w:kern w:val="0"/>
      <w:sz w:val="44"/>
      <w:szCs w:val="44"/>
    </w:rPr>
  </w:style>
  <w:style w:type="paragraph" w:styleId="3">
    <w:name w:val="Document Map"/>
    <w:basedOn w:val="1"/>
    <w:link w:val="15"/>
    <w:qFormat/>
    <w:uiPriority w:val="0"/>
    <w:rPr>
      <w:rFonts w:ascii="宋体" w:eastAsia="宋体"/>
      <w:sz w:val="18"/>
      <w:szCs w:val="18"/>
    </w:r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alloon Text"/>
    <w:basedOn w:val="1"/>
    <w:semiHidden/>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rFonts w:eastAsia="宋体"/>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paragraph" w:customStyle="1" w:styleId="13">
    <w:name w:val="四号正文"/>
    <w:basedOn w:val="1"/>
    <w:link w:val="14"/>
    <w:qFormat/>
    <w:uiPriority w:val="0"/>
    <w:pPr>
      <w:spacing w:line="360" w:lineRule="auto"/>
    </w:pPr>
    <w:rPr>
      <w:rFonts w:ascii="??" w:hAnsi="??" w:eastAsia="宋体" w:cs="宋体"/>
      <w:color w:val="000000"/>
      <w:kern w:val="0"/>
      <w:sz w:val="28"/>
      <w:szCs w:val="21"/>
    </w:rPr>
  </w:style>
  <w:style w:type="character" w:customStyle="1" w:styleId="14">
    <w:name w:val="四号正文 Char"/>
    <w:basedOn w:val="11"/>
    <w:link w:val="13"/>
    <w:qFormat/>
    <w:uiPriority w:val="0"/>
    <w:rPr>
      <w:rFonts w:ascii="??" w:hAnsi="??" w:eastAsia="宋体" w:cs="宋体"/>
      <w:color w:val="000000"/>
      <w:sz w:val="28"/>
      <w:szCs w:val="21"/>
      <w:lang w:val="en-US" w:eastAsia="zh-CN" w:bidi="ar-SA"/>
    </w:rPr>
  </w:style>
  <w:style w:type="character" w:customStyle="1" w:styleId="15">
    <w:name w:val="文档结构图 Char"/>
    <w:basedOn w:val="11"/>
    <w:link w:val="3"/>
    <w:qFormat/>
    <w:uiPriority w:val="0"/>
    <w:rPr>
      <w:rFonts w:ascii="宋体"/>
      <w:kern w:val="2"/>
      <w:sz w:val="18"/>
      <w:szCs w:val="18"/>
    </w:rPr>
  </w:style>
  <w:style w:type="paragraph" w:customStyle="1" w:styleId="16">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7">
    <w:name w:val="页脚 Char"/>
    <w:basedOn w:val="11"/>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PSZX</Company>
  <Pages>1</Pages>
  <Words>41</Words>
  <Characters>237</Characters>
  <Lines>1</Lines>
  <Paragraphs>1</Paragraphs>
  <TotalTime>20</TotalTime>
  <ScaleCrop>false</ScaleCrop>
  <LinksUpToDate>false</LinksUpToDate>
  <CharactersWithSpaces>277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Administrator</cp:lastModifiedBy>
  <cp:lastPrinted>2019-05-23T02:35:00Z</cp:lastPrinted>
  <dcterms:modified xsi:type="dcterms:W3CDTF">2023-07-04T08:36:36Z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